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5" w:after="0"/>
        <w:ind w:left="0" w:right="0" w:hanging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Ttulogeneral"/>
        <w:spacing w:lineRule="auto" w:line="276"/>
        <w:ind w:left="3827" w:right="0" w:hanging="3503"/>
        <w:jc w:val="left"/>
        <w:rPr/>
      </w:pPr>
      <w:r>
        <w:rPr/>
        <w:t>CONCURSO ABIERTO DE 1 (UN) CARGO PARA DESEMPEÑARSE COMO</w:t>
      </w:r>
      <w:r>
        <w:rPr>
          <w:spacing w:val="1"/>
        </w:rPr>
        <w:t xml:space="preserve"> </w:t>
      </w:r>
      <w:r>
        <w:rPr/>
        <w:t>MEDICO/A</w:t>
      </w:r>
      <w:r>
        <w:rPr>
          <w:spacing w:val="-52"/>
        </w:rPr>
        <w:t xml:space="preserve"> </w:t>
      </w:r>
      <w:r>
        <w:rPr/>
        <w:t xml:space="preserve">CLÍNICO/A </w:t>
      </w:r>
      <w:r>
        <w:rPr/>
        <w:t>2022</w:t>
      </w:r>
    </w:p>
    <w:p>
      <w:pPr>
        <w:pStyle w:val="Ttulogeneral"/>
        <w:spacing w:before="200" w:after="0"/>
        <w:ind w:left="102" w:right="0" w:hanging="0"/>
        <w:rPr/>
      </w:pPr>
      <w:r>
        <w:rPr/>
        <w:t>TEMARIO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BIBLIOGRAFÍA</w:t>
      </w:r>
    </w:p>
    <w:p>
      <w:pPr>
        <w:pStyle w:val="Cuerpodetexto"/>
        <w:spacing w:before="10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Diabetes:</w:t>
      </w:r>
      <w:r>
        <w:rPr>
          <w:spacing w:val="-1"/>
          <w:sz w:val="22"/>
        </w:rPr>
        <w:t xml:space="preserve"> </w:t>
      </w:r>
      <w:r>
        <w:rPr>
          <w:sz w:val="22"/>
        </w:rPr>
        <w:t>guía</w:t>
      </w:r>
      <w:r>
        <w:rPr>
          <w:spacing w:val="-1"/>
          <w:sz w:val="22"/>
        </w:rPr>
        <w:t xml:space="preserve"> </w:t>
      </w:r>
      <w:r>
        <w:rPr>
          <w:sz w:val="22"/>
        </w:rPr>
        <w:t>de diabetes</w:t>
      </w:r>
      <w:r>
        <w:rPr>
          <w:spacing w:val="-2"/>
          <w:sz w:val="22"/>
        </w:rPr>
        <w:t xml:space="preserve"> </w:t>
      </w:r>
      <w:r>
        <w:rPr>
          <w:sz w:val="22"/>
        </w:rPr>
        <w:t>ADA</w:t>
      </w:r>
      <w:r>
        <w:rPr>
          <w:spacing w:val="-2"/>
          <w:sz w:val="22"/>
        </w:rPr>
        <w:t xml:space="preserve"> </w:t>
      </w:r>
      <w:r>
        <w:rPr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39" w:after="0"/>
        <w:ind w:left="821" w:right="677" w:hanging="360"/>
        <w:jc w:val="left"/>
        <w:rPr>
          <w:sz w:val="22"/>
        </w:rPr>
      </w:pPr>
      <w:r>
        <w:rPr>
          <w:sz w:val="22"/>
        </w:rPr>
        <w:t>HTA : guías de la sociedad europea de hipertensión arterial</w:t>
      </w:r>
      <w:r>
        <w:rPr>
          <w:spacing w:val="1"/>
          <w:sz w:val="22"/>
        </w:rPr>
        <w:t xml:space="preserve"> </w:t>
      </w:r>
      <w:r>
        <w:rPr>
          <w:sz w:val="22"/>
        </w:rPr>
        <w:t>( EHS ) y la sociedad</w:t>
      </w:r>
      <w:r>
        <w:rPr>
          <w:spacing w:val="-47"/>
          <w:sz w:val="22"/>
        </w:rPr>
        <w:t xml:space="preserve"> </w:t>
      </w:r>
      <w:r>
        <w:rPr>
          <w:sz w:val="22"/>
        </w:rPr>
        <w:t>latinoamericana</w:t>
      </w:r>
      <w:r>
        <w:rPr>
          <w:spacing w:val="-4"/>
          <w:sz w:val="22"/>
        </w:rPr>
        <w:t xml:space="preserve"> </w:t>
      </w:r>
      <w:r>
        <w:rPr>
          <w:sz w:val="22"/>
        </w:rPr>
        <w:t>de hipertensión</w:t>
      </w:r>
      <w:r>
        <w:rPr>
          <w:spacing w:val="-1"/>
          <w:sz w:val="22"/>
        </w:rPr>
        <w:t xml:space="preserve"> </w:t>
      </w:r>
      <w:r>
        <w:rPr>
          <w:sz w:val="22"/>
        </w:rPr>
        <w:t>arterial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LASH</w:t>
      </w:r>
      <w:r>
        <w:rPr>
          <w:spacing w:val="-1"/>
          <w:sz w:val="22"/>
        </w:rPr>
        <w:t xml:space="preserve"> 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1" w:after="0"/>
        <w:ind w:left="822" w:right="0" w:hanging="361"/>
        <w:jc w:val="left"/>
        <w:rPr>
          <w:sz w:val="22"/>
        </w:rPr>
      </w:pPr>
      <w:r>
        <w:rPr>
          <w:sz w:val="22"/>
        </w:rPr>
        <w:t>Dislipemia</w:t>
      </w:r>
      <w:r>
        <w:rPr>
          <w:spacing w:val="-1"/>
          <w:sz w:val="22"/>
        </w:rPr>
        <w:t xml:space="preserve"> </w:t>
      </w:r>
      <w:r>
        <w:rPr>
          <w:sz w:val="22"/>
        </w:rPr>
        <w:t>:</w:t>
      </w:r>
      <w:r>
        <w:rPr>
          <w:spacing w:val="-2"/>
          <w:sz w:val="22"/>
        </w:rPr>
        <w:t xml:space="preserve"> </w:t>
      </w:r>
      <w:r>
        <w:rPr>
          <w:sz w:val="22"/>
        </w:rPr>
        <w:t>guía y</w:t>
      </w:r>
      <w:r>
        <w:rPr>
          <w:spacing w:val="-3"/>
          <w:sz w:val="22"/>
        </w:rPr>
        <w:t xml:space="preserve"> </w:t>
      </w:r>
      <w:r>
        <w:rPr>
          <w:sz w:val="22"/>
        </w:rPr>
        <w:t>consenso</w:t>
      </w:r>
      <w:r>
        <w:rPr>
          <w:spacing w:val="1"/>
          <w:sz w:val="22"/>
        </w:rPr>
        <w:t xml:space="preserve"> </w:t>
      </w:r>
      <w:r>
        <w:rPr>
          <w:sz w:val="22"/>
        </w:rPr>
        <w:t>de la</w:t>
      </w:r>
      <w:r>
        <w:rPr>
          <w:spacing w:val="-4"/>
          <w:sz w:val="22"/>
        </w:rPr>
        <w:t xml:space="preserve"> </w:t>
      </w:r>
      <w:r>
        <w:rPr>
          <w:sz w:val="22"/>
        </w:rPr>
        <w:t>sociedad</w:t>
      </w:r>
      <w:r>
        <w:rPr>
          <w:spacing w:val="-2"/>
          <w:sz w:val="22"/>
        </w:rPr>
        <w:t xml:space="preserve"> </w:t>
      </w:r>
      <w:r>
        <w:rPr>
          <w:sz w:val="22"/>
        </w:rPr>
        <w:t>argentina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lípidos</w:t>
      </w:r>
      <w:r>
        <w:rPr>
          <w:spacing w:val="-3"/>
          <w:sz w:val="22"/>
        </w:rPr>
        <w:t xml:space="preserve"> </w:t>
      </w:r>
      <w:r>
        <w:rPr>
          <w:sz w:val="22"/>
        </w:rPr>
        <w:t>2019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2" w:leader="none"/>
          <w:tab w:val="left" w:pos="873" w:leader="none"/>
        </w:tabs>
        <w:spacing w:lineRule="auto" w:line="271" w:before="41" w:after="0"/>
        <w:ind w:left="821" w:right="404" w:hanging="360"/>
        <w:jc w:val="left"/>
        <w:rPr>
          <w:sz w:val="22"/>
        </w:rPr>
      </w:pPr>
      <w:r>
        <w:rPr/>
        <w:tab/>
      </w:r>
      <w:r>
        <w:rPr>
          <w:sz w:val="22"/>
        </w:rPr>
        <w:t>Obesidad: guía de práctica clínica nacional sobre el diagnóstico y tratamiento de la</w:t>
      </w:r>
      <w:r>
        <w:rPr>
          <w:spacing w:val="-47"/>
          <w:sz w:val="22"/>
        </w:rPr>
        <w:t xml:space="preserve"> </w:t>
      </w:r>
      <w:r>
        <w:rPr>
          <w:sz w:val="22"/>
        </w:rPr>
        <w:t>obesidad</w:t>
      </w:r>
      <w:r>
        <w:rPr>
          <w:spacing w:val="-1"/>
          <w:sz w:val="22"/>
        </w:rPr>
        <w:t xml:space="preserve"> </w:t>
      </w:r>
      <w:r>
        <w:rPr>
          <w:sz w:val="22"/>
        </w:rPr>
        <w:t>en</w:t>
      </w:r>
      <w:r>
        <w:rPr>
          <w:spacing w:val="-4"/>
          <w:sz w:val="22"/>
        </w:rPr>
        <w:t xml:space="preserve"> </w:t>
      </w:r>
      <w:r>
        <w:rPr>
          <w:sz w:val="22"/>
        </w:rPr>
        <w:t>adultos.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2" w:leader="none"/>
          <w:tab w:val="left" w:pos="873" w:leader="none"/>
        </w:tabs>
        <w:spacing w:lineRule="auto" w:line="276" w:before="5" w:after="0"/>
        <w:ind w:left="821" w:right="612" w:hanging="360"/>
        <w:jc w:val="left"/>
        <w:rPr>
          <w:sz w:val="22"/>
        </w:rPr>
      </w:pPr>
      <w:r>
        <w:rPr/>
        <w:tab/>
      </w:r>
      <w:r>
        <w:rPr>
          <w:sz w:val="22"/>
        </w:rPr>
        <w:t>EPOC : guía de práctica clínica nacional de diagnóstico y tratamiento de la EPOC.</w:t>
      </w:r>
      <w:r>
        <w:rPr>
          <w:spacing w:val="-47"/>
          <w:sz w:val="22"/>
        </w:rPr>
        <w:t xml:space="preserve"> </w:t>
      </w:r>
      <w:r>
        <w:rPr>
          <w:sz w:val="22"/>
        </w:rPr>
        <w:t>Ministerio de</w:t>
      </w:r>
      <w:r>
        <w:rPr>
          <w:spacing w:val="-3"/>
          <w:sz w:val="22"/>
        </w:rPr>
        <w:t xml:space="preserve"> </w:t>
      </w:r>
      <w:r>
        <w:rPr>
          <w:sz w:val="22"/>
        </w:rPr>
        <w:t>Salud</w:t>
      </w:r>
      <w:r>
        <w:rPr>
          <w:spacing w:val="-1"/>
          <w:sz w:val="22"/>
        </w:rPr>
        <w:t xml:space="preserve"> </w:t>
      </w:r>
      <w:r>
        <w:rPr>
          <w:sz w:val="22"/>
        </w:rPr>
        <w:t>de la Nación.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0" w:after="0"/>
        <w:ind w:left="821" w:right="547" w:hanging="360"/>
        <w:jc w:val="left"/>
        <w:rPr>
          <w:sz w:val="22"/>
        </w:rPr>
      </w:pPr>
      <w:r>
        <w:rPr>
          <w:sz w:val="22"/>
        </w:rPr>
        <w:t>Asma: protocolo de orientación para el diagnóstico y manejo de asma en adultos.</w:t>
      </w:r>
      <w:r>
        <w:rPr>
          <w:spacing w:val="-47"/>
          <w:sz w:val="22"/>
        </w:rPr>
        <w:t xml:space="preserve"> </w:t>
      </w:r>
      <w:r>
        <w:rPr>
          <w:sz w:val="22"/>
        </w:rPr>
        <w:t>Ministerio de</w:t>
      </w:r>
      <w:r>
        <w:rPr>
          <w:spacing w:val="-3"/>
          <w:sz w:val="22"/>
        </w:rPr>
        <w:t xml:space="preserve"> </w:t>
      </w:r>
      <w:r>
        <w:rPr>
          <w:sz w:val="22"/>
        </w:rPr>
        <w:t>salud/</w:t>
      </w:r>
      <w:r>
        <w:rPr>
          <w:spacing w:val="1"/>
          <w:sz w:val="22"/>
        </w:rPr>
        <w:t xml:space="preserve"> </w:t>
      </w:r>
      <w:r>
        <w:rPr>
          <w:sz w:val="22"/>
        </w:rPr>
        <w:t>argentina.gob.ar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Covid</w:t>
      </w:r>
      <w:r>
        <w:rPr>
          <w:spacing w:val="-4"/>
          <w:sz w:val="22"/>
        </w:rPr>
        <w:t xml:space="preserve"> </w:t>
      </w:r>
      <w:r>
        <w:rPr>
          <w:sz w:val="22"/>
        </w:rPr>
        <w:t>19:</w:t>
      </w:r>
      <w:r>
        <w:rPr>
          <w:spacing w:val="-3"/>
          <w:sz w:val="22"/>
        </w:rPr>
        <w:t xml:space="preserve"> </w:t>
      </w:r>
      <w:r>
        <w:rPr>
          <w:sz w:val="22"/>
        </w:rPr>
        <w:t>ministerio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salud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República</w:t>
      </w:r>
      <w:r>
        <w:rPr>
          <w:spacing w:val="-1"/>
          <w:sz w:val="22"/>
        </w:rPr>
        <w:t xml:space="preserve"> </w:t>
      </w:r>
      <w:r>
        <w:rPr>
          <w:sz w:val="22"/>
        </w:rPr>
        <w:t>Argentina.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34" w:after="0"/>
        <w:ind w:left="821" w:right="303" w:hanging="360"/>
        <w:jc w:val="left"/>
        <w:rPr>
          <w:sz w:val="22"/>
        </w:rPr>
      </w:pPr>
      <w:r>
        <w:rPr>
          <w:sz w:val="22"/>
        </w:rPr>
        <w:t>Vacunas para jóvenes y adultos/ vacunas a partir de 65 años. Calendario nacional de</w:t>
      </w:r>
      <w:r>
        <w:rPr>
          <w:spacing w:val="-47"/>
          <w:sz w:val="22"/>
        </w:rPr>
        <w:t xml:space="preserve"> </w:t>
      </w:r>
      <w:r>
        <w:rPr>
          <w:sz w:val="22"/>
        </w:rPr>
        <w:t>vacunación.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1" w:before="2" w:after="0"/>
        <w:ind w:left="821" w:right="102" w:hanging="360"/>
        <w:jc w:val="left"/>
        <w:rPr>
          <w:sz w:val="22"/>
        </w:rPr>
      </w:pPr>
      <w:r>
        <w:rPr>
          <w:sz w:val="22"/>
        </w:rPr>
        <w:t>Cesación tabáquica: guía para el tratamiento de la adicción al tabaquismo en el primer</w:t>
      </w:r>
      <w:r>
        <w:rPr>
          <w:spacing w:val="-47"/>
          <w:sz w:val="22"/>
        </w:rPr>
        <w:t xml:space="preserve"> </w:t>
      </w:r>
      <w:r>
        <w:rPr>
          <w:sz w:val="22"/>
        </w:rPr>
        <w:t>nivel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atención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salud.</w:t>
      </w:r>
      <w:r>
        <w:rPr>
          <w:spacing w:val="-3"/>
          <w:sz w:val="22"/>
        </w:rPr>
        <w:t xml:space="preserve"> </w:t>
      </w:r>
      <w:r>
        <w:rPr>
          <w:sz w:val="22"/>
        </w:rPr>
        <w:t>(2011)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6" w:before="4" w:after="0"/>
        <w:ind w:left="821" w:right="389" w:hanging="360"/>
        <w:jc w:val="left"/>
        <w:rPr>
          <w:sz w:val="22"/>
        </w:rPr>
      </w:pPr>
      <w:r>
        <w:rPr>
          <w:sz w:val="22"/>
        </w:rPr>
        <w:t>Cuidados preventivos del adulto y estratificación del riesgo cardiovascular : Manual</w:t>
      </w:r>
      <w:r>
        <w:rPr>
          <w:spacing w:val="-47"/>
          <w:sz w:val="22"/>
        </w:rPr>
        <w:t xml:space="preserve"> </w:t>
      </w:r>
      <w:r>
        <w:rPr>
          <w:sz w:val="22"/>
        </w:rPr>
        <w:t>para el cuidado de personas con enfermedades crónicas no transmisibles: manejo</w:t>
      </w:r>
      <w:r>
        <w:rPr>
          <w:spacing w:val="1"/>
          <w:sz w:val="22"/>
        </w:rPr>
        <w:t xml:space="preserve"> </w:t>
      </w:r>
      <w:r>
        <w:rPr>
          <w:sz w:val="22"/>
        </w:rPr>
        <w:t>integral</w:t>
      </w:r>
      <w:r>
        <w:rPr>
          <w:spacing w:val="-2"/>
          <w:sz w:val="22"/>
        </w:rPr>
        <w:t xml:space="preserve"> </w:t>
      </w:r>
      <w:r>
        <w:rPr>
          <w:sz w:val="22"/>
        </w:rPr>
        <w:t>en</w:t>
      </w:r>
      <w:r>
        <w:rPr>
          <w:spacing w:val="-3"/>
          <w:sz w:val="22"/>
        </w:rPr>
        <w:t xml:space="preserve"> </w:t>
      </w:r>
      <w:r>
        <w:rPr>
          <w:sz w:val="22"/>
        </w:rPr>
        <w:t>el primer nivel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atención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cap</w:t>
      </w:r>
      <w:r>
        <w:rPr>
          <w:spacing w:val="-3"/>
          <w:sz w:val="22"/>
        </w:rPr>
        <w:t xml:space="preserve"> </w:t>
      </w:r>
      <w:r>
        <w:rPr>
          <w:sz w:val="22"/>
        </w:rPr>
        <w:t>2 y</w:t>
      </w:r>
      <w:r>
        <w:rPr>
          <w:spacing w:val="-1"/>
          <w:sz w:val="22"/>
        </w:rPr>
        <w:t xml:space="preserve"> </w:t>
      </w:r>
      <w:r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Salud</w:t>
      </w:r>
      <w:r>
        <w:rPr>
          <w:spacing w:val="-2"/>
          <w:sz w:val="22"/>
        </w:rPr>
        <w:t xml:space="preserve"> </w:t>
      </w:r>
      <w:r>
        <w:rPr>
          <w:sz w:val="22"/>
        </w:rPr>
        <w:t>Pública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96" w:leader="none"/>
        </w:tabs>
        <w:spacing w:lineRule="auto" w:line="276" w:before="42" w:after="0"/>
        <w:ind w:left="821" w:right="203" w:hanging="0"/>
        <w:jc w:val="left"/>
        <w:rPr>
          <w:sz w:val="22"/>
        </w:rPr>
      </w:pPr>
      <w:r>
        <w:rPr>
          <w:sz w:val="22"/>
        </w:rPr>
        <w:t>Ley Nacional 26529/2009. Derechos del Paciente, historia clínica y consentimiento</w:t>
      </w:r>
      <w:r>
        <w:rPr>
          <w:spacing w:val="-47"/>
          <w:sz w:val="22"/>
        </w:rPr>
        <w:t xml:space="preserve"> </w:t>
      </w:r>
      <w:r>
        <w:rPr>
          <w:sz w:val="22"/>
        </w:rPr>
        <w:t>informado. Modificatorias Ley 26742/12 y Ley 26812/13</w:t>
      </w:r>
      <w:r>
        <w:rPr>
          <w:color w:val="0000FF"/>
          <w:spacing w:val="1"/>
          <w:sz w:val="22"/>
        </w:rPr>
        <w:t xml:space="preserve"> </w:t>
      </w:r>
      <w:hyperlink r:id="rId2">
        <w:r>
          <w:rPr>
            <w:color w:val="0000FF"/>
            <w:sz w:val="22"/>
            <w:u w:val="single" w:color="0000FF"/>
          </w:rPr>
          <w:t>http://servicios.infoleg.gob.ar/infolegInternet/anexos/160000-</w:t>
        </w:r>
      </w:hyperlink>
      <w:r>
        <w:rPr>
          <w:color w:val="0000FF"/>
          <w:spacing w:val="1"/>
          <w:sz w:val="22"/>
        </w:rPr>
        <w:t xml:space="preserve"> </w:t>
      </w:r>
      <w:hyperlink r:id="rId3">
        <w:r>
          <w:rPr>
            <w:color w:val="0000FF"/>
            <w:sz w:val="22"/>
            <w:u w:val="single" w:color="0000FF"/>
          </w:rPr>
          <w:t>164999/160432/texact.htm</w:t>
        </w:r>
      </w:hyperlink>
    </w:p>
    <w:p>
      <w:pPr>
        <w:pStyle w:val="Cuerpodetexto"/>
        <w:spacing w:before="7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55" w:leader="none"/>
        </w:tabs>
        <w:spacing w:lineRule="auto" w:line="276" w:before="56" w:after="0"/>
        <w:ind w:left="821" w:right="434" w:hanging="0"/>
        <w:jc w:val="left"/>
        <w:rPr>
          <w:sz w:val="22"/>
        </w:rPr>
      </w:pPr>
      <w:r>
        <w:rPr>
          <w:sz w:val="22"/>
        </w:rPr>
        <w:t>Ley 25326 “Protección de los datos personales”</w:t>
      </w:r>
      <w:r>
        <w:rPr>
          <w:color w:val="0000FF"/>
          <w:spacing w:val="1"/>
          <w:sz w:val="22"/>
        </w:rPr>
        <w:t xml:space="preserve"> </w:t>
      </w:r>
      <w:hyperlink r:id="rId4">
        <w:r>
          <w:rPr>
            <w:color w:val="0000FF"/>
            <w:spacing w:val="-1"/>
            <w:sz w:val="22"/>
            <w:u w:val="single" w:color="0000FF"/>
          </w:rPr>
          <w:t>https://www.argentina.gob.ar/normativa/nacional/ley-25326-64790/actualizacion</w:t>
        </w:r>
      </w:hyperlink>
    </w:p>
    <w:p>
      <w:pPr>
        <w:pStyle w:val="Cuerpodetexto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84" w:leader="none"/>
        </w:tabs>
        <w:spacing w:lineRule="auto" w:line="276" w:before="56" w:after="0"/>
        <w:ind w:left="821" w:right="831" w:hanging="0"/>
        <w:jc w:val="left"/>
        <w:rPr>
          <w:sz w:val="22"/>
        </w:rPr>
      </w:pPr>
      <w:r>
        <w:rPr>
          <w:sz w:val="22"/>
        </w:rPr>
        <w:t>Ley Nacional Nº 25.673, de creación del Programa Nacional de Salud Sexual</w:t>
      </w:r>
      <w:r>
        <w:rPr>
          <w:spacing w:val="-47"/>
          <w:sz w:val="22"/>
        </w:rPr>
        <w:t xml:space="preserve"> </w:t>
      </w:r>
      <w:r>
        <w:rPr>
          <w:sz w:val="22"/>
        </w:rPr>
        <w:t>y</w:t>
      </w:r>
      <w:r>
        <w:rPr>
          <w:spacing w:val="-1"/>
          <w:sz w:val="22"/>
        </w:rPr>
        <w:t xml:space="preserve"> </w:t>
      </w:r>
      <w:r>
        <w:rPr>
          <w:sz w:val="22"/>
        </w:rPr>
        <w:t>Reproductiva.</w:t>
      </w:r>
    </w:p>
    <w:p>
      <w:pPr>
        <w:pStyle w:val="Cuerpodetexto"/>
        <w:spacing w:lineRule="auto" w:line="271" w:before="2" w:after="0"/>
        <w:ind w:left="821" w:right="2287" w:hanging="0"/>
        <w:rPr/>
      </w:pPr>
      <w:hyperlink r:id="rId5">
        <w:r>
          <w:rPr>
            <w:color w:val="0000FF"/>
            <w:u w:val="single" w:color="0000FF"/>
          </w:rPr>
          <w:t>http://servicios.infoleg.gob.ar/infolegInternet/anexos/75000-</w:t>
        </w:r>
      </w:hyperlink>
      <w:r>
        <w:rPr>
          <w:color w:val="0000FF"/>
          <w:spacing w:val="-47"/>
        </w:rPr>
        <w:t xml:space="preserve"> </w:t>
      </w:r>
      <w:hyperlink r:id="rId6">
        <w:r>
          <w:rPr>
            <w:color w:val="0000FF"/>
            <w:u w:val="single" w:color="0000FF"/>
          </w:rPr>
          <w:t>79999/79831/norma.htm</w:t>
        </w:r>
      </w:hyperlink>
    </w:p>
    <w:p>
      <w:pPr>
        <w:pStyle w:val="Cuerpodetexto"/>
        <w:spacing w:before="2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06" w:leader="none"/>
        </w:tabs>
        <w:spacing w:lineRule="auto" w:line="276" w:before="56" w:after="0"/>
        <w:ind w:left="821" w:right="990" w:hanging="0"/>
        <w:jc w:val="left"/>
        <w:rPr>
          <w:sz w:val="22"/>
        </w:rPr>
      </w:pPr>
      <w:r>
        <w:rPr>
          <w:sz w:val="22"/>
        </w:rPr>
        <w:t>Ley N°26.061, De protección integral de los derechos de las niñas, niños y</w:t>
      </w:r>
      <w:r>
        <w:rPr>
          <w:spacing w:val="-47"/>
          <w:sz w:val="22"/>
        </w:rPr>
        <w:t xml:space="preserve"> </w:t>
      </w:r>
      <w:r>
        <w:rPr>
          <w:sz w:val="22"/>
        </w:rPr>
        <w:t>adolescentes.</w:t>
      </w:r>
      <w:r>
        <w:rPr>
          <w:color w:val="0000FF"/>
          <w:spacing w:val="1"/>
          <w:sz w:val="22"/>
        </w:rPr>
        <w:t xml:space="preserve"> </w:t>
      </w:r>
      <w:hyperlink r:id="rId7">
        <w:r>
          <w:rPr>
            <w:color w:val="0000FF"/>
            <w:sz w:val="22"/>
            <w:u w:val="single" w:color="0000FF"/>
          </w:rPr>
          <w:t>https://www.buenosaires.gob.ar/sites/gcaba/files/ley26061.pdf</w:t>
        </w:r>
      </w:hyperlink>
    </w:p>
    <w:p>
      <w:pPr>
        <w:pStyle w:val="Cuerpodetexto"/>
        <w:spacing w:before="7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01" w:leader="none"/>
        </w:tabs>
        <w:spacing w:lineRule="auto" w:line="276" w:before="56" w:after="0"/>
        <w:ind w:left="821" w:right="378" w:hanging="0"/>
        <w:jc w:val="left"/>
        <w:rPr>
          <w:sz w:val="22"/>
        </w:rPr>
      </w:pPr>
      <w:r>
        <w:rPr>
          <w:sz w:val="22"/>
        </w:rPr>
        <w:t>Ley Nacional Nº 26.743/2012. Derecho a la identidad de género de las personas.</w:t>
      </w:r>
      <w:r>
        <w:rPr>
          <w:spacing w:val="-48"/>
          <w:sz w:val="22"/>
        </w:rPr>
        <w:t xml:space="preserve"> </w:t>
      </w:r>
      <w:r>
        <w:rPr>
          <w:sz w:val="22"/>
        </w:rPr>
        <w:t>Sancionada</w:t>
      </w:r>
      <w:r>
        <w:rPr>
          <w:spacing w:val="-1"/>
          <w:sz w:val="22"/>
        </w:rPr>
        <w:t xml:space="preserve"> </w:t>
      </w:r>
      <w:r>
        <w:rPr>
          <w:sz w:val="22"/>
        </w:rPr>
        <w:t>9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mayo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2012.</w:t>
      </w:r>
      <w:r>
        <w:rPr>
          <w:spacing w:val="-2"/>
          <w:sz w:val="22"/>
        </w:rPr>
        <w:t xml:space="preserve"> </w:t>
      </w:r>
      <w:r>
        <w:rPr>
          <w:sz w:val="22"/>
        </w:rPr>
        <w:t>Promulgada 23 de</w:t>
      </w:r>
      <w:r>
        <w:rPr>
          <w:spacing w:val="-4"/>
          <w:sz w:val="22"/>
        </w:rPr>
        <w:t xml:space="preserve"> </w:t>
      </w:r>
      <w:r>
        <w:rPr>
          <w:sz w:val="22"/>
        </w:rPr>
        <w:t>mayo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2012.</w:t>
      </w:r>
    </w:p>
    <w:p>
      <w:pPr>
        <w:sectPr>
          <w:headerReference w:type="default" r:id="rId8"/>
          <w:type w:val="nextPage"/>
          <w:pgSz w:w="11906" w:h="16838"/>
          <w:pgMar w:left="1600" w:right="1660" w:header="708" w:top="1440" w:footer="0" w:bottom="280" w:gutter="0"/>
          <w:pgNumType w:fmt="decimal"/>
          <w:formProt w:val="false"/>
          <w:textDirection w:val="lrTb"/>
        </w:sectPr>
      </w:pPr>
    </w:p>
    <w:p>
      <w:pPr>
        <w:pStyle w:val="Cuerpodetexto"/>
        <w:spacing w:lineRule="auto" w:line="276" w:before="10" w:after="0"/>
        <w:rPr>
          <w:sz w:val="22"/>
        </w:rPr>
      </w:pPr>
      <w:hyperlink r:id="rId9">
        <w:r>
          <w:rPr>
            <w:color w:val="0000FF"/>
            <w:spacing w:val="-1"/>
            <w:u w:val="single" w:color="0000FF"/>
          </w:rPr>
          <w:t>http://servicios.infoleg.gob.ar/infolegInternet/anexos/195000-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199999/197860/norma.htm</w:t>
        </w:r>
      </w:hyperlink>
    </w:p>
    <w:p>
      <w:pPr>
        <w:pStyle w:val="Cuerpodetexto"/>
        <w:spacing w:before="9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 w:before="56" w:after="0"/>
        <w:ind w:left="821" w:right="114" w:hanging="0"/>
        <w:rPr>
          <w:sz w:val="22"/>
        </w:rPr>
      </w:pPr>
      <w:r>
        <w:rPr/>
        <w:t>F-Ley Nacional Nº 26.485/2009. Ley de protección integral para prevenir, sancionar y</w:t>
      </w:r>
      <w:r>
        <w:rPr>
          <w:spacing w:val="1"/>
        </w:rPr>
        <w:t xml:space="preserve"> </w:t>
      </w:r>
      <w:r>
        <w:rPr/>
        <w:t>erradicar la violencia contra las mujeres en los ámbitos en que desarrollen sus</w:t>
      </w:r>
      <w:r>
        <w:rPr>
          <w:spacing w:val="1"/>
        </w:rPr>
        <w:t xml:space="preserve"> </w:t>
      </w:r>
      <w:r>
        <w:rPr/>
        <w:t>relaciones interpersonales. CONGRESO DE LA NACIÓN ARGENTINA Sancionada: Marzo</w:t>
      </w:r>
      <w:r>
        <w:rPr>
          <w:spacing w:val="-47"/>
        </w:rPr>
        <w:t xml:space="preserve"> </w:t>
      </w:r>
      <w:r>
        <w:rPr/>
        <w:t>11 de 2009.Promulgada de Hecho: Abril 1 de 2009.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https://www.argentina.gob.ar/sites/default/files/ley_26485_violencia_familiar.pdf</w:t>
        </w:r>
      </w:hyperlink>
    </w:p>
    <w:p>
      <w:pPr>
        <w:pStyle w:val="Cuerpodetexto"/>
        <w:spacing w:before="8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76" w:before="57" w:after="0"/>
        <w:ind w:left="821" w:right="1516" w:hanging="0"/>
        <w:rPr>
          <w:sz w:val="22"/>
        </w:rPr>
      </w:pPr>
      <w:r>
        <w:rPr/>
        <w:t>g- Ley 27499 Honorable Congreso de la Nación Argentina.</w:t>
      </w:r>
      <w:r>
        <w:rPr>
          <w:spacing w:val="1"/>
        </w:rPr>
        <w:t xml:space="preserve"> </w:t>
      </w:r>
      <w:r>
        <w:rPr/>
        <w:t>Ley Micaela</w:t>
      </w:r>
      <w:r>
        <w:rPr>
          <w:color w:val="0000FF"/>
          <w:spacing w:val="-47"/>
        </w:rPr>
        <w:t xml:space="preserve"> </w:t>
      </w:r>
      <w:hyperlink r:id="rId12">
        <w:r>
          <w:rPr>
            <w:color w:val="0000FF"/>
            <w:u w:val="single" w:color="0000FF"/>
          </w:rPr>
          <w:t>https://www.argentina.gob.ar/normativa/nacional/ley-27499-318666</w:t>
        </w:r>
      </w:hyperlink>
    </w:p>
    <w:sectPr>
      <w:headerReference w:type="default" r:id="rId13"/>
      <w:type w:val="nextPage"/>
      <w:pgSz w:w="11906" w:h="16838"/>
      <w:pgMar w:left="1600" w:right="1660" w:header="708" w:top="14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5059680</wp:posOffset>
          </wp:positionH>
          <wp:positionV relativeFrom="page">
            <wp:posOffset>449580</wp:posOffset>
          </wp:positionV>
          <wp:extent cx="1368425" cy="4730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5059680</wp:posOffset>
          </wp:positionH>
          <wp:positionV relativeFrom="page">
            <wp:posOffset>449580</wp:posOffset>
          </wp:positionV>
          <wp:extent cx="1368425" cy="473075"/>
          <wp:effectExtent l="0" t="0" r="0" b="0"/>
          <wp:wrapNone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sz w:val="22"/>
        <w:szCs w:val="22"/>
        <w:w w:val="100"/>
        <w:rFonts w:eastAsia="Calibri" w:cs="Calibri"/>
        <w:lang w:val="es-ES" w:eastAsia="en-US" w:bidi="ar-SA"/>
      </w:rPr>
    </w:lvl>
    <w:lvl w:ilvl="1">
      <w:start w:val="1"/>
      <w:numFmt w:val="lowerLetter"/>
      <w:lvlText w:val="%2-"/>
      <w:lvlJc w:val="left"/>
      <w:pPr>
        <w:tabs>
          <w:tab w:val="num" w:pos="0"/>
        </w:tabs>
        <w:ind w:left="822" w:hanging="274"/>
      </w:pPr>
      <w:rPr>
        <w:sz w:val="22"/>
        <w:spacing w:val="-1"/>
        <w:szCs w:val="22"/>
        <w:w w:val="100"/>
        <w:rFonts w:eastAsia="Calibri" w:cs="Calibr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5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7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0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3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5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98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81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821" w:right="0" w:hanging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"/>
    <w:qFormat/>
    <w:pPr>
      <w:spacing w:before="51" w:after="0"/>
      <w:ind w:left="102" w:right="0" w:hanging="3503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821" w:right="0" w:hanging="360"/>
    </w:pPr>
    <w:rPr>
      <w:rFonts w:ascii="Calibri" w:hAnsi="Calibri" w:eastAsia="Calibri" w:cs="Calibri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rvicios.infoleg.gob.ar/infolegInternet/anexos/160000- 164999/160432/texact.htm" TargetMode="External"/><Relationship Id="rId3" Type="http://schemas.openxmlformats.org/officeDocument/2006/relationships/hyperlink" Target="http://servicios.infoleg.gob.ar/infolegInternet/anexos/160000- 164999/160432/texact.htm" TargetMode="External"/><Relationship Id="rId4" Type="http://schemas.openxmlformats.org/officeDocument/2006/relationships/hyperlink" Target="https://www.argentina.gob.ar/normativa/nacional/ley-25326-64790/actualizacion" TargetMode="External"/><Relationship Id="rId5" Type="http://schemas.openxmlformats.org/officeDocument/2006/relationships/hyperlink" Target="http://servicios.infoleg.gob.ar/infolegInternet/anexos/75000-79999/79831/norma.htm" TargetMode="External"/><Relationship Id="rId6" Type="http://schemas.openxmlformats.org/officeDocument/2006/relationships/hyperlink" Target="http://servicios.infoleg.gob.ar/infolegInternet/anexos/75000-79999/79831/norma.htm" TargetMode="External"/><Relationship Id="rId7" Type="http://schemas.openxmlformats.org/officeDocument/2006/relationships/hyperlink" Target="https://www.buenosaires.gob.ar/sites/gcaba/files/ley26061.pdf" TargetMode="External"/><Relationship Id="rId8" Type="http://schemas.openxmlformats.org/officeDocument/2006/relationships/header" Target="header1.xml"/><Relationship Id="rId9" Type="http://schemas.openxmlformats.org/officeDocument/2006/relationships/hyperlink" Target="http://servicios.infoleg.gob.ar/infolegInternet/anexos/195000- 199999/197860/norma.htm" TargetMode="External"/><Relationship Id="rId10" Type="http://schemas.openxmlformats.org/officeDocument/2006/relationships/hyperlink" Target="http://servicios.infoleg.gob.ar/infolegInternet/anexos/195000- 199999/197860/norma.htm" TargetMode="External"/><Relationship Id="rId11" Type="http://schemas.openxmlformats.org/officeDocument/2006/relationships/hyperlink" Target="https://www.argentina.gob.ar/sites/default/files/ley_26485_violencia_familiar.pdf" TargetMode="External"/><Relationship Id="rId12" Type="http://schemas.openxmlformats.org/officeDocument/2006/relationships/hyperlink" Target="https://www.argentina.gob.ar/normativa/nacional/ley-27499-318666" TargetMode="Externa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347</Words>
  <Characters>2299</Characters>
  <CharactersWithSpaces>2610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2022-04-18T15:12:39Z</dcterms:created>
  <dc:creator>USUARIO</dc:creator>
  <dc:description/>
  <dc:language>es-AR</dc:language>
  <cp:lastModifiedBy/>
  <dcterms:modified xsi:type="dcterms:W3CDTF">2022-04-18T14:11:03Z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2021-08-17T00:00:00Z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